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37" w:rsidRPr="00C31737" w:rsidRDefault="00E85735" w:rsidP="00CA1E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Molecular mechanisms of virulent bacteriophages infecting </w:t>
      </w:r>
      <w:r w:rsidRPr="00E85735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</w:p>
    <w:p w:rsidR="00C31737" w:rsidRPr="00C31737" w:rsidRDefault="00C31737" w:rsidP="00CA1E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1737" w:rsidRPr="00383656" w:rsidRDefault="00C31737" w:rsidP="00CA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56">
        <w:rPr>
          <w:rFonts w:ascii="Times New Roman" w:hAnsi="Times New Roman" w:cs="Times New Roman"/>
          <w:sz w:val="24"/>
          <w:szCs w:val="24"/>
        </w:rPr>
        <w:t>Anne Chevallereau</w:t>
      </w:r>
      <w:r w:rsidRPr="0038365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Pr="00383656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  <w:r w:rsidRPr="003836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Mathieu De Jode</w:t>
      </w:r>
      <w:r w:rsidRPr="00C31737">
        <w:rPr>
          <w:rFonts w:ascii="Times New Roman" w:hAnsi="Times New Roman" w:cs="Times New Roman"/>
          <w:b/>
          <w:sz w:val="24"/>
          <w:szCs w:val="24"/>
          <w:vertAlign w:val="superscript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656">
        <w:rPr>
          <w:rFonts w:ascii="Times New Roman" w:hAnsi="Times New Roman" w:cs="Times New Roman"/>
          <w:sz w:val="24"/>
          <w:szCs w:val="24"/>
        </w:rPr>
        <w:t>Elisa Brambilla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38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656">
        <w:rPr>
          <w:rFonts w:ascii="Times New Roman" w:hAnsi="Times New Roman" w:cs="Times New Roman"/>
          <w:sz w:val="24"/>
          <w:szCs w:val="24"/>
        </w:rPr>
        <w:t>Gouzel</w:t>
      </w:r>
      <w:proofErr w:type="spellEnd"/>
      <w:r w:rsidRPr="00383656">
        <w:rPr>
          <w:rFonts w:ascii="Times New Roman" w:hAnsi="Times New Roman" w:cs="Times New Roman"/>
          <w:sz w:val="24"/>
          <w:szCs w:val="24"/>
        </w:rPr>
        <w:t xml:space="preserve"> Karimova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383656">
        <w:rPr>
          <w:rFonts w:ascii="Times New Roman" w:hAnsi="Times New Roman" w:cs="Times New Roman"/>
          <w:sz w:val="24"/>
          <w:szCs w:val="24"/>
        </w:rPr>
        <w:t xml:space="preserve">, </w:t>
      </w:r>
      <w:r w:rsidRPr="005257CB">
        <w:rPr>
          <w:rFonts w:ascii="Times New Roman" w:hAnsi="Times New Roman" w:cs="Times New Roman"/>
          <w:sz w:val="24"/>
          <w:szCs w:val="24"/>
          <w:u w:val="single"/>
        </w:rPr>
        <w:t>Laurent Debarbieux</w:t>
      </w:r>
      <w:r w:rsidRPr="005257C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</w:p>
    <w:p w:rsidR="00C31737" w:rsidRPr="00E301F3" w:rsidRDefault="00C31737" w:rsidP="00CA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1 </w:t>
      </w:r>
      <w:proofErr w:type="spellStart"/>
      <w:r w:rsidRPr="00E301F3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E301F3">
        <w:rPr>
          <w:rFonts w:ascii="Times New Roman" w:hAnsi="Times New Roman" w:cs="Times New Roman"/>
          <w:sz w:val="24"/>
          <w:szCs w:val="24"/>
          <w:lang w:val="en-US"/>
        </w:rPr>
        <w:t xml:space="preserve"> Pasteur, </w:t>
      </w:r>
      <w:r w:rsidR="00A8284C">
        <w:rPr>
          <w:rFonts w:ascii="Times New Roman" w:hAnsi="Times New Roman" w:cs="Times New Roman"/>
          <w:sz w:val="24"/>
          <w:szCs w:val="24"/>
          <w:lang w:val="en-US"/>
        </w:rPr>
        <w:t>Interactions Bacteriophages Bacteria in Animals</w:t>
      </w:r>
      <w:r w:rsidRPr="00E301F3">
        <w:rPr>
          <w:rFonts w:ascii="Times New Roman" w:hAnsi="Times New Roman" w:cs="Times New Roman"/>
          <w:sz w:val="24"/>
          <w:szCs w:val="24"/>
          <w:lang w:val="en-US"/>
        </w:rPr>
        <w:t xml:space="preserve">, Department of Microbiology, Paris, France </w:t>
      </w:r>
    </w:p>
    <w:p w:rsidR="00C31737" w:rsidRDefault="00C31737" w:rsidP="00CA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44D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44D80">
        <w:rPr>
          <w:rFonts w:ascii="Times New Roman" w:hAnsi="Times New Roman" w:cs="Times New Roman"/>
          <w:sz w:val="24"/>
          <w:szCs w:val="24"/>
        </w:rPr>
        <w:t>Université Paris Diderot, Sorbonne Paris Cité,</w:t>
      </w:r>
      <w:r>
        <w:rPr>
          <w:rFonts w:ascii="Times New Roman" w:hAnsi="Times New Roman" w:cs="Times New Roman"/>
          <w:sz w:val="24"/>
          <w:szCs w:val="24"/>
        </w:rPr>
        <w:t xml:space="preserve"> Cellule Pasteur, Paris, France</w:t>
      </w:r>
    </w:p>
    <w:p w:rsidR="00C31737" w:rsidRDefault="00CA1E2A" w:rsidP="00CA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5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44D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PMC</w:t>
      </w:r>
      <w:r w:rsidRPr="00944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Cellule Pasteur, Paris, France</w:t>
      </w:r>
    </w:p>
    <w:p w:rsidR="00C31737" w:rsidRDefault="00A8284C" w:rsidP="00CA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C31737" w:rsidRPr="00383656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C31737" w:rsidRPr="00383656">
        <w:rPr>
          <w:rFonts w:ascii="Times New Roman" w:hAnsi="Times New Roman" w:cs="Times New Roman"/>
          <w:sz w:val="24"/>
          <w:szCs w:val="24"/>
        </w:rPr>
        <w:t>Groupe Croissance et Morphogén</w:t>
      </w:r>
      <w:r w:rsidR="00CA1E2A">
        <w:rPr>
          <w:rFonts w:ascii="Times New Roman" w:hAnsi="Times New Roman" w:cs="Times New Roman"/>
          <w:sz w:val="24"/>
          <w:szCs w:val="24"/>
        </w:rPr>
        <w:t>è</w:t>
      </w:r>
      <w:r w:rsidR="00C31737" w:rsidRPr="00383656">
        <w:rPr>
          <w:rFonts w:ascii="Times New Roman" w:hAnsi="Times New Roman" w:cs="Times New Roman"/>
          <w:sz w:val="24"/>
          <w:szCs w:val="24"/>
        </w:rPr>
        <w:t>se Microbienne, Institut Pasteur, 28 rue du Docteur Roux, 75724 Paris Cedex 15, France.</w:t>
      </w:r>
    </w:p>
    <w:p w:rsidR="00C31737" w:rsidRDefault="00A8284C" w:rsidP="00CA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C31737">
        <w:rPr>
          <w:rFonts w:ascii="Times New Roman" w:hAnsi="Times New Roman" w:cs="Times New Roman"/>
          <w:sz w:val="24"/>
          <w:szCs w:val="24"/>
        </w:rPr>
        <w:t xml:space="preserve"> </w:t>
      </w:r>
      <w:r w:rsidR="00C31737" w:rsidRPr="00383656">
        <w:rPr>
          <w:rFonts w:ascii="Times New Roman" w:hAnsi="Times New Roman" w:cs="Times New Roman"/>
          <w:sz w:val="24"/>
          <w:szCs w:val="24"/>
        </w:rPr>
        <w:t>Institut Pasteur, CNRS UMR 3528, Unité de Biochimie des Interactions Macromoléculaires, Département de Biologie Structurale et Chimie, Paris, France.</w:t>
      </w:r>
    </w:p>
    <w:p w:rsidR="00C31737" w:rsidRPr="001C541D" w:rsidRDefault="00C31737" w:rsidP="00CA1E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737" w:rsidRDefault="001C541D" w:rsidP="00CA1E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541D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  <w:r w:rsidRPr="001C541D">
        <w:rPr>
          <w:rFonts w:ascii="Times New Roman" w:hAnsi="Times New Roman" w:cs="Times New Roman"/>
          <w:sz w:val="24"/>
          <w:szCs w:val="24"/>
          <w:lang w:val="en-US"/>
        </w:rPr>
        <w:t xml:space="preserve"> bacteriophages PAK_P3 and PAK_P4 belong to two distantly related genera of </w:t>
      </w:r>
      <w:proofErr w:type="spellStart"/>
      <w:r w:rsidRPr="001C541D">
        <w:rPr>
          <w:rFonts w:ascii="Times New Roman" w:hAnsi="Times New Roman" w:cs="Times New Roman"/>
          <w:i/>
          <w:sz w:val="24"/>
          <w:szCs w:val="24"/>
          <w:lang w:val="en-US"/>
        </w:rPr>
        <w:t>Caudovirales</w:t>
      </w:r>
      <w:proofErr w:type="spellEnd"/>
      <w:r w:rsidRPr="001C541D">
        <w:rPr>
          <w:rFonts w:ascii="Times New Roman" w:hAnsi="Times New Roman" w:cs="Times New Roman"/>
          <w:sz w:val="24"/>
          <w:szCs w:val="24"/>
          <w:lang w:val="en-US"/>
        </w:rPr>
        <w:t xml:space="preserve"> viruses.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Outside the cluster of genes coding for structural </w:t>
      </w:r>
      <w:r w:rsidRPr="001C541D">
        <w:rPr>
          <w:rFonts w:ascii="Times New Roman" w:hAnsi="Times New Roman" w:cs="Times New Roman"/>
          <w:sz w:val="24"/>
          <w:szCs w:val="24"/>
          <w:lang w:val="en-US"/>
        </w:rPr>
        <w:t xml:space="preserve">proteins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are </w:t>
      </w:r>
      <w:r w:rsidRPr="001C541D">
        <w:rPr>
          <w:rFonts w:ascii="Times New Roman" w:hAnsi="Times New Roman" w:cs="Times New Roman"/>
          <w:sz w:val="24"/>
          <w:szCs w:val="24"/>
          <w:lang w:val="en-US"/>
        </w:rPr>
        <w:t>almost identical</w:t>
      </w:r>
      <w:r>
        <w:rPr>
          <w:rFonts w:ascii="Times New Roman" w:hAnsi="Times New Roman" w:cs="Times New Roman"/>
          <w:sz w:val="24"/>
          <w:szCs w:val="24"/>
          <w:lang w:val="en-US"/>
        </w:rPr>
        <w:t>, the rest of the genome i</w:t>
      </w:r>
      <w:r w:rsidRPr="001C541D">
        <w:rPr>
          <w:rFonts w:ascii="Times New Roman" w:hAnsi="Times New Roman" w:cs="Times New Roman"/>
          <w:sz w:val="24"/>
          <w:szCs w:val="24"/>
          <w:lang w:val="en-US"/>
        </w:rPr>
        <w:t>s highly divergent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Nevertheless, few open reading frames display </w:t>
      </w:r>
      <w:r w:rsidR="001C727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strong conservation within bacteriophages belonging to these two genera suggesting they may code for conserved functions.</w:t>
      </w:r>
    </w:p>
    <w:p w:rsidR="001E012E" w:rsidRDefault="001C541D" w:rsidP="00CA1E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work we examined one of these conserved ORFs which displays a phenotype of growth defect when expressed ectopically in the bacterial host. Interestingly, this phenotype was also observed when expressed in two other </w:t>
      </w:r>
      <w:r w:rsidRPr="001C541D">
        <w:rPr>
          <w:rFonts w:ascii="Times New Roman" w:hAnsi="Times New Roman" w:cs="Times New Roman"/>
          <w:i/>
          <w:sz w:val="24"/>
          <w:szCs w:val="24"/>
          <w:lang w:val="en-US"/>
        </w:rPr>
        <w:t>P. aeruginosa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hosts as well as in </w:t>
      </w:r>
      <w:r w:rsidRPr="001C541D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Using a two-hybrid system in </w:t>
      </w:r>
      <w:r w:rsidR="001E012E" w:rsidRPr="001E012E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we identified the </w:t>
      </w:r>
      <w:r w:rsidR="001E012E" w:rsidRPr="00CA41F5">
        <w:rPr>
          <w:rFonts w:ascii="Times New Roman" w:hAnsi="Times New Roman" w:cs="Times New Roman"/>
          <w:sz w:val="24"/>
          <w:szCs w:val="24"/>
          <w:lang w:val="en-US"/>
        </w:rPr>
        <w:t>anti-</w:t>
      </w:r>
      <w:r w:rsidR="001E012E" w:rsidRPr="00CA41F5">
        <w:rPr>
          <w:rFonts w:ascii="Times New Roman" w:hAnsi="Times New Roman" w:cs="Times New Roman"/>
          <w:sz w:val="24"/>
          <w:szCs w:val="24"/>
        </w:rPr>
        <w:t>σ</w:t>
      </w:r>
      <w:r w:rsidR="001E012E" w:rsidRPr="00CA41F5">
        <w:rPr>
          <w:rFonts w:ascii="Times New Roman" w:hAnsi="Times New Roman" w:cs="Times New Roman"/>
          <w:sz w:val="24"/>
          <w:szCs w:val="24"/>
          <w:lang w:val="en-US"/>
        </w:rPr>
        <w:t xml:space="preserve">E factor </w:t>
      </w:r>
      <w:proofErr w:type="spellStart"/>
      <w:r w:rsidR="001E012E" w:rsidRPr="00CA41F5">
        <w:rPr>
          <w:rFonts w:ascii="Times New Roman" w:hAnsi="Times New Roman" w:cs="Times New Roman"/>
          <w:sz w:val="24"/>
          <w:szCs w:val="24"/>
          <w:lang w:val="en-US"/>
        </w:rPr>
        <w:t>RseA</w:t>
      </w:r>
      <w:proofErr w:type="spellEnd"/>
      <w:r w:rsidR="001E012E" w:rsidRPr="00CA4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>as a putative interacting partner of th</w:t>
      </w:r>
      <w:r w:rsidR="00AE1985">
        <w:rPr>
          <w:rFonts w:ascii="Times New Roman" w:hAnsi="Times New Roman" w:cs="Times New Roman"/>
          <w:sz w:val="24"/>
          <w:szCs w:val="24"/>
          <w:lang w:val="en-US"/>
        </w:rPr>
        <w:t>e product of th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is ORF. The </w:t>
      </w:r>
      <w:r w:rsidR="001E012E" w:rsidRPr="001E012E">
        <w:rPr>
          <w:rFonts w:ascii="Times New Roman" w:hAnsi="Times New Roman" w:cs="Times New Roman"/>
          <w:i/>
          <w:sz w:val="24"/>
          <w:szCs w:val="24"/>
          <w:lang w:val="en-US"/>
        </w:rPr>
        <w:t>P. aeruginosa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homologous protein of </w:t>
      </w:r>
      <w:proofErr w:type="spellStart"/>
      <w:r w:rsidR="001E012E">
        <w:rPr>
          <w:rFonts w:ascii="Times New Roman" w:hAnsi="Times New Roman" w:cs="Times New Roman"/>
          <w:sz w:val="24"/>
          <w:szCs w:val="24"/>
          <w:lang w:val="en-US"/>
        </w:rPr>
        <w:t>RseA</w:t>
      </w:r>
      <w:proofErr w:type="spellEnd"/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is named </w:t>
      </w:r>
      <w:proofErr w:type="spellStart"/>
      <w:r w:rsidR="001E012E">
        <w:rPr>
          <w:rFonts w:ascii="Times New Roman" w:hAnsi="Times New Roman" w:cs="Times New Roman"/>
          <w:sz w:val="24"/>
          <w:szCs w:val="24"/>
          <w:lang w:val="en-US"/>
        </w:rPr>
        <w:t>AlgU</w:t>
      </w:r>
      <w:proofErr w:type="spellEnd"/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, while the </w:t>
      </w:r>
      <w:r w:rsidR="001E012E" w:rsidRPr="00CA41F5">
        <w:rPr>
          <w:rFonts w:ascii="Times New Roman" w:hAnsi="Times New Roman" w:cs="Times New Roman"/>
          <w:sz w:val="24"/>
          <w:szCs w:val="24"/>
        </w:rPr>
        <w:t>σ</w:t>
      </w:r>
      <w:r w:rsidR="001E012E" w:rsidRPr="00CA41F5">
        <w:rPr>
          <w:rFonts w:ascii="Times New Roman" w:hAnsi="Times New Roman" w:cs="Times New Roman"/>
          <w:sz w:val="24"/>
          <w:szCs w:val="24"/>
          <w:lang w:val="en-US"/>
        </w:rPr>
        <w:t xml:space="preserve">E factor 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is named </w:t>
      </w:r>
      <w:proofErr w:type="spellStart"/>
      <w:r w:rsidR="001E012E">
        <w:rPr>
          <w:rFonts w:ascii="Times New Roman" w:hAnsi="Times New Roman" w:cs="Times New Roman"/>
          <w:sz w:val="24"/>
          <w:szCs w:val="24"/>
          <w:lang w:val="en-US"/>
        </w:rPr>
        <w:t>MucA</w:t>
      </w:r>
      <w:proofErr w:type="spellEnd"/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. Both </w:t>
      </w:r>
      <w:proofErr w:type="spellStart"/>
      <w:r w:rsidR="001E012E">
        <w:rPr>
          <w:rFonts w:ascii="Times New Roman" w:hAnsi="Times New Roman" w:cs="Times New Roman"/>
          <w:sz w:val="24"/>
          <w:szCs w:val="24"/>
          <w:lang w:val="en-US"/>
        </w:rPr>
        <w:t>AlgU</w:t>
      </w:r>
      <w:proofErr w:type="spellEnd"/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1E012E">
        <w:rPr>
          <w:rFonts w:ascii="Times New Roman" w:hAnsi="Times New Roman" w:cs="Times New Roman"/>
          <w:sz w:val="24"/>
          <w:szCs w:val="24"/>
          <w:lang w:val="en-US"/>
        </w:rPr>
        <w:t>MucA</w:t>
      </w:r>
      <w:proofErr w:type="spellEnd"/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are well studied </w:t>
      </w:r>
      <w:r w:rsidR="001C727F">
        <w:rPr>
          <w:rFonts w:ascii="Times New Roman" w:hAnsi="Times New Roman" w:cs="Times New Roman"/>
          <w:sz w:val="24"/>
          <w:szCs w:val="24"/>
          <w:lang w:val="en-US"/>
        </w:rPr>
        <w:t>proteins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E012E" w:rsidRPr="001E012E">
        <w:rPr>
          <w:rFonts w:ascii="Times New Roman" w:hAnsi="Times New Roman" w:cs="Times New Roman"/>
          <w:i/>
          <w:sz w:val="24"/>
          <w:szCs w:val="24"/>
          <w:lang w:val="en-US"/>
        </w:rPr>
        <w:t>P. aeruginosa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as being associated to the general stress response that regulates in particular the biosynthesis of alginate, which </w:t>
      </w:r>
      <w:r w:rsidR="001C727F">
        <w:rPr>
          <w:rFonts w:ascii="Times New Roman" w:hAnsi="Times New Roman" w:cs="Times New Roman"/>
          <w:sz w:val="24"/>
          <w:szCs w:val="24"/>
          <w:lang w:val="en-US"/>
        </w:rPr>
        <w:t>is linked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C727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E012E">
        <w:rPr>
          <w:rFonts w:ascii="Times New Roman" w:hAnsi="Times New Roman" w:cs="Times New Roman"/>
          <w:sz w:val="24"/>
          <w:szCs w:val="24"/>
          <w:lang w:val="en-US"/>
        </w:rPr>
        <w:t>mucoid phenotype often found in clinical isolates from cystic fibrosis patients.</w:t>
      </w:r>
      <w:r w:rsidR="00401D5F">
        <w:rPr>
          <w:rFonts w:ascii="Times New Roman" w:hAnsi="Times New Roman" w:cs="Times New Roman"/>
          <w:sz w:val="24"/>
          <w:szCs w:val="24"/>
          <w:lang w:val="en-US"/>
        </w:rPr>
        <w:t xml:space="preserve"> We experimentally verified that </w:t>
      </w:r>
      <w:r w:rsidR="00AE1985">
        <w:rPr>
          <w:rFonts w:ascii="Times New Roman" w:hAnsi="Times New Roman" w:cs="Times New Roman"/>
          <w:sz w:val="24"/>
          <w:szCs w:val="24"/>
          <w:lang w:val="en-US"/>
        </w:rPr>
        <w:t>the product of this</w:t>
      </w:r>
      <w:r w:rsidR="00401D5F">
        <w:rPr>
          <w:rFonts w:ascii="Times New Roman" w:hAnsi="Times New Roman" w:cs="Times New Roman"/>
          <w:sz w:val="24"/>
          <w:szCs w:val="24"/>
          <w:lang w:val="en-US"/>
        </w:rPr>
        <w:t xml:space="preserve"> ORF is interacting directly with </w:t>
      </w:r>
      <w:proofErr w:type="spellStart"/>
      <w:r w:rsidR="00401D5F">
        <w:rPr>
          <w:rFonts w:ascii="Times New Roman" w:hAnsi="Times New Roman" w:cs="Times New Roman"/>
          <w:sz w:val="24"/>
          <w:szCs w:val="24"/>
          <w:lang w:val="en-US"/>
        </w:rPr>
        <w:t>AlgU</w:t>
      </w:r>
      <w:proofErr w:type="spellEnd"/>
      <w:r w:rsidR="00401D5F">
        <w:rPr>
          <w:rFonts w:ascii="Times New Roman" w:hAnsi="Times New Roman" w:cs="Times New Roman"/>
          <w:sz w:val="24"/>
          <w:szCs w:val="24"/>
          <w:lang w:val="en-US"/>
        </w:rPr>
        <w:t xml:space="preserve"> and are proposing a mechanism used by the bacteriophage to modulate the stress response in order to achieve its infectious cycle.</w:t>
      </w:r>
    </w:p>
    <w:p w:rsidR="001C541D" w:rsidRPr="001C541D" w:rsidRDefault="001C541D" w:rsidP="00CA1E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541D" w:rsidRPr="001C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6A"/>
    <w:rsid w:val="001C541D"/>
    <w:rsid w:val="001C727F"/>
    <w:rsid w:val="001E012E"/>
    <w:rsid w:val="00401D5F"/>
    <w:rsid w:val="00453A6A"/>
    <w:rsid w:val="005257CB"/>
    <w:rsid w:val="00585D93"/>
    <w:rsid w:val="00A8284C"/>
    <w:rsid w:val="00AE1985"/>
    <w:rsid w:val="00C31737"/>
    <w:rsid w:val="00CA1E2A"/>
    <w:rsid w:val="00E85735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164F-E4E4-4325-B027-4B58A5CE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6</cp:revision>
  <cp:lastPrinted>2017-11-06T14:37:00Z</cp:lastPrinted>
  <dcterms:created xsi:type="dcterms:W3CDTF">2017-11-06T12:39:00Z</dcterms:created>
  <dcterms:modified xsi:type="dcterms:W3CDTF">2017-11-06T15:06:00Z</dcterms:modified>
</cp:coreProperties>
</file>